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48" w:rsidRDefault="00F362B7">
      <w:hyperlink r:id="rId4" w:history="1">
        <w:r w:rsidR="00687461" w:rsidRPr="00F362B7">
          <w:rPr>
            <w:rStyle w:val="Hipercze"/>
          </w:rPr>
          <w:t>https://isap.sejm.gov.pl/isap.nsf/download.xsp/WDU20180002436/O/D20182436.pdf</w:t>
        </w:r>
      </w:hyperlink>
      <w:bookmarkStart w:id="0" w:name="_GoBack"/>
      <w:bookmarkEnd w:id="0"/>
    </w:p>
    <w:sectPr w:rsidR="00E06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61"/>
    <w:rsid w:val="00687461"/>
    <w:rsid w:val="00E06648"/>
    <w:rsid w:val="00F3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CA677-F239-4D76-BBEB-32B7E0C8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ap.sejm.gov.pl/isap.nsf/download.xsp/WDU20180002436/O/D20182436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EWA</cp:lastModifiedBy>
  <cp:revision>3</cp:revision>
  <dcterms:created xsi:type="dcterms:W3CDTF">2022-07-12T05:54:00Z</dcterms:created>
  <dcterms:modified xsi:type="dcterms:W3CDTF">2022-07-12T08:50:00Z</dcterms:modified>
</cp:coreProperties>
</file>